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right"/>
        <w:outlineLvl w:val="1"/>
        <w:rPr>
          <w:b/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</w:r>
    </w:p>
    <w:p>
      <w:pPr>
        <w:pStyle w:val="Normal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2067560</wp:posOffset>
            </wp:positionH>
            <wp:positionV relativeFrom="paragraph">
              <wp:posOffset>-170815</wp:posOffset>
            </wp:positionV>
            <wp:extent cx="2076450" cy="685800"/>
            <wp:effectExtent l="0" t="0" r="0" b="0"/>
            <wp:wrapNone/>
            <wp:docPr id="1" name="Рисунок 1" descr="C:\Users\portyanaya_vg\Desktop\1_Филиал АЭ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1_Филиал АЭС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left" w:pos="4136" w:leader="none"/>
          <w:tab w:val="right" w:pos="9779" w:leader="none"/>
        </w:tabs>
        <w:rPr>
          <w:color w:val="000000"/>
          <w:sz w:val="20"/>
          <w:szCs w:val="24"/>
        </w:rPr>
      </w:pPr>
      <w:r>
        <w:rPr>
          <w:color w:val="000000"/>
          <w:sz w:val="26"/>
          <w:szCs w:val="26"/>
        </w:rPr>
        <w:tab/>
        <w:tab/>
      </w:r>
    </w:p>
    <w:p>
      <w:pPr>
        <w:pStyle w:val="Normal"/>
        <w:jc w:val="right"/>
        <w:rPr>
          <w:color w:val="000000"/>
          <w:sz w:val="20"/>
          <w:szCs w:val="24"/>
        </w:rPr>
      </w:pPr>
      <w:r>
        <w:rPr>
          <w:color w:val="000000"/>
          <w:sz w:val="20"/>
          <w:szCs w:val="24"/>
        </w:rPr>
      </w:r>
    </w:p>
    <w:p>
      <w:pPr>
        <w:pStyle w:val="Normal"/>
        <w:tabs>
          <w:tab w:val="left" w:pos="4035" w:leader="none"/>
        </w:tabs>
        <w:jc w:val="center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Акционерное общество</w:t>
      </w:r>
    </w:p>
    <w:p>
      <w:pPr>
        <w:pStyle w:val="Normal"/>
        <w:jc w:val="center"/>
        <w:rPr>
          <w:b/>
          <w:b/>
          <w:color w:val="000000"/>
          <w:sz w:val="30"/>
          <w:szCs w:val="24"/>
        </w:rPr>
      </w:pPr>
      <w:r>
        <w:rPr>
          <w:b/>
          <w:color w:val="000000"/>
          <w:sz w:val="30"/>
          <w:szCs w:val="24"/>
        </w:rPr>
        <w:t>«Дальневосточная распределительная сетевая компания»</w:t>
      </w:r>
    </w:p>
    <w:p>
      <w:pPr>
        <w:pStyle w:val="Normal"/>
        <w:jc w:val="center"/>
        <w:rPr>
          <w:b/>
          <w:b/>
          <w:color w:val="000000"/>
          <w:sz w:val="30"/>
          <w:szCs w:val="24"/>
        </w:rPr>
      </w:pPr>
      <w:r>
        <w:rPr>
          <w:b/>
          <w:color w:val="000000"/>
          <w:sz w:val="30"/>
          <w:szCs w:val="24"/>
        </w:rPr>
        <w:t>Филиал «Амурские электрические сети»</w:t>
      </w:r>
    </w:p>
    <w:p>
      <w:pPr>
        <w:pStyle w:val="Normal"/>
        <w:jc w:val="center"/>
        <w:rPr>
          <w:rFonts w:ascii="Univers" w:hAnsi="Univers"/>
          <w:color w:val="000000"/>
          <w:sz w:val="12"/>
          <w:szCs w:val="12"/>
        </w:rPr>
      </w:pPr>
      <w:r>
        <w:rPr>
          <w:rFonts w:ascii="Univers" w:hAnsi="Univers"/>
          <w:color w:val="000000"/>
          <w:sz w:val="12"/>
          <w:szCs w:val="12"/>
        </w:rPr>
        <w:t>__________________________________</w:t>
      </w:r>
      <w:r>
        <w:rPr>
          <w:rFonts w:ascii="Calibri" w:hAnsi="Calibri"/>
          <w:color w:val="000000"/>
          <w:sz w:val="12"/>
          <w:szCs w:val="12"/>
        </w:rPr>
        <w:t>________________</w:t>
      </w:r>
      <w:r>
        <w:rPr>
          <w:rFonts w:ascii="Univers" w:hAnsi="Univers"/>
          <w:color w:val="000000"/>
          <w:sz w:val="12"/>
          <w:szCs w:val="12"/>
        </w:rPr>
        <w:t>___________________________________________________________</w:t>
      </w:r>
    </w:p>
    <w:p>
      <w:pPr>
        <w:pStyle w:val="Normal"/>
        <w:jc w:val="center"/>
        <w:rPr>
          <w:rFonts w:ascii="Univers" w:hAnsi="Univers"/>
          <w:color w:val="000000"/>
          <w:sz w:val="8"/>
          <w:szCs w:val="8"/>
        </w:rPr>
      </w:pPr>
      <w:r>
        <w:rPr>
          <w:rFonts w:ascii="Univers" w:hAnsi="Univers"/>
          <w:color w:val="000000"/>
          <w:sz w:val="8"/>
          <w:szCs w:val="8"/>
        </w:rPr>
      </w:r>
    </w:p>
    <w:p>
      <w:pPr>
        <w:pStyle w:val="Normal"/>
        <w:jc w:val="center"/>
        <w:rPr>
          <w:color w:val="000000"/>
          <w:sz w:val="16"/>
          <w:szCs w:val="24"/>
        </w:rPr>
      </w:pPr>
      <w:r>
        <w:rPr>
          <w:color w:val="000000"/>
          <w:sz w:val="16"/>
          <w:szCs w:val="24"/>
        </w:rPr>
        <w:t>ул. Шевченко, 28, г. Благовещенск, 675000, Россия Тел: (4162) 399-359; Факс (4162) 399-289;</w:t>
      </w:r>
    </w:p>
    <w:p>
      <w:pPr>
        <w:pStyle w:val="Normal"/>
        <w:jc w:val="center"/>
        <w:rPr>
          <w:b/>
          <w:b/>
          <w:bCs/>
          <w:color w:val="000000"/>
          <w:u w:val="single"/>
        </w:rPr>
      </w:pPr>
      <w:r>
        <w:rPr>
          <w:color w:val="000000"/>
          <w:sz w:val="16"/>
          <w:szCs w:val="24"/>
          <w:lang w:val="en-US"/>
        </w:rPr>
        <w:t>E</w:t>
      </w:r>
      <w:r>
        <w:rPr>
          <w:color w:val="000000"/>
          <w:sz w:val="16"/>
          <w:szCs w:val="24"/>
        </w:rPr>
        <w:t>-</w:t>
      </w:r>
      <w:r>
        <w:rPr>
          <w:color w:val="000000"/>
          <w:sz w:val="16"/>
          <w:szCs w:val="24"/>
          <w:lang w:val="en-US"/>
        </w:rPr>
        <w:t>mail</w:t>
      </w:r>
      <w:r>
        <w:rPr>
          <w:color w:val="000000"/>
          <w:sz w:val="16"/>
          <w:szCs w:val="24"/>
        </w:rPr>
        <w:t xml:space="preserve">: </w:t>
      </w:r>
      <w:r>
        <w:rPr>
          <w:color w:val="000000"/>
          <w:sz w:val="16"/>
          <w:szCs w:val="24"/>
          <w:lang w:val="en-US"/>
        </w:rPr>
        <w:t>doc</w:t>
      </w:r>
      <w:r>
        <w:rPr>
          <w:color w:val="000000"/>
          <w:sz w:val="16"/>
          <w:szCs w:val="24"/>
        </w:rPr>
        <w:t>@</w:t>
      </w:r>
      <w:r>
        <w:rPr>
          <w:color w:val="000000"/>
          <w:sz w:val="16"/>
          <w:szCs w:val="24"/>
          <w:lang w:val="en-US"/>
        </w:rPr>
        <w:t>amur</w:t>
      </w:r>
      <w:r>
        <w:rPr>
          <w:color w:val="000000"/>
          <w:sz w:val="16"/>
          <w:szCs w:val="24"/>
        </w:rPr>
        <w:t>.</w:t>
      </w:r>
      <w:r>
        <w:rPr>
          <w:color w:val="000000"/>
          <w:sz w:val="16"/>
          <w:szCs w:val="24"/>
          <w:lang w:val="en-US"/>
        </w:rPr>
        <w:t>drsk</w:t>
      </w:r>
      <w:r>
        <w:rPr>
          <w:color w:val="000000"/>
          <w:sz w:val="16"/>
          <w:szCs w:val="24"/>
        </w:rPr>
        <w:t>.</w:t>
      </w:r>
      <w:r>
        <w:rPr>
          <w:color w:val="000000"/>
          <w:sz w:val="16"/>
          <w:szCs w:val="24"/>
          <w:lang w:val="en-US"/>
        </w:rPr>
        <w:t>ru</w:t>
      </w:r>
      <w:r>
        <w:rPr>
          <w:color w:val="000000"/>
          <w:sz w:val="16"/>
          <w:szCs w:val="24"/>
        </w:rPr>
        <w:t xml:space="preserve"> ОКПО 97987579, ОГРН 1052800111308, ИНН/КПП 2801108200/280102003</w:t>
      </w:r>
    </w:p>
    <w:p>
      <w:pPr>
        <w:pStyle w:val="Normal"/>
        <w:tabs>
          <w:tab w:val="left" w:pos="6060" w:leader="none"/>
        </w:tabs>
        <w:jc w:val="center"/>
        <w:rPr>
          <w:rFonts w:ascii="Franklin Gothic Medium" w:hAnsi="Franklin Gothic Medium"/>
          <w:b/>
          <w:b/>
          <w:color w:val="000000"/>
          <w:sz w:val="16"/>
          <w:szCs w:val="24"/>
        </w:rPr>
      </w:pPr>
      <w:r>
        <w:rPr>
          <w:rFonts w:ascii="Franklin Gothic Medium" w:hAnsi="Franklin Gothic Medium"/>
          <w:b/>
          <w:color w:val="000000"/>
          <w:sz w:val="16"/>
          <w:szCs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highlight w:val="yellow"/>
        </w:rPr>
      </w:pPr>
      <w:r>
        <w:rPr>
          <w:rFonts w:eastAsia="Calibri"/>
          <w:b/>
          <w:i/>
          <w:sz w:val="26"/>
          <w:szCs w:val="26"/>
          <w:shd w:fill="FFFFFF" w:val="clear"/>
        </w:rPr>
        <w:t xml:space="preserve"> </w:t>
      </w:r>
      <w:r>
        <w:rPr>
          <w:rFonts w:eastAsia="Calibri"/>
          <w:b/>
          <w:i/>
          <w:sz w:val="26"/>
          <w:szCs w:val="26"/>
          <w:shd w:fill="FFFFFF" w:val="clear"/>
        </w:rPr>
        <w:t>ОКПД2 42.22.22.140 Выполнение работ по ремонту на  ВЛ-35 кВ Сетевая-Зейская структурного подразделения "Центральные электрические сети" в рамках выполнения годовой программы ремонтов основных производственных фондов 2026 года филиала "Амурские  электрические сети"</w:t>
      </w:r>
    </w:p>
    <w:p>
      <w:pPr>
        <w:pStyle w:val="Normal"/>
        <w:keepNext w:val="true"/>
        <w:keepLines/>
        <w:jc w:val="center"/>
        <w:rPr>
          <w:rFonts w:eastAsia="Calibri"/>
          <w:i/>
          <w:i/>
          <w:sz w:val="26"/>
          <w:szCs w:val="26"/>
          <w:highlight w:val="yellow"/>
        </w:rPr>
      </w:pPr>
      <w:r>
        <w:rPr>
          <w:rFonts w:eastAsia="Calibri"/>
          <w:i/>
          <w:sz w:val="26"/>
          <w:szCs w:val="26"/>
          <w:highlight w:val="yellow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4058.1-РЕМ ПРОД-2026-ДРСК-АЭС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17"/>
            <w:tabs>
              <w:tab w:val="left" w:pos="567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instrText> TOC \z \o "1-4" \u \h</w:instrText>
          </w:r>
          <w:r>
            <w:fldChar w:fldCharType="separate"/>
          </w:r>
          <w:hyperlink w:anchor="_Toc126842025">
            <w:r>
              <w:rPr>
                <w:webHidden/>
                <w:rStyle w:val="Style21"/>
                <w:vanish w:val="false"/>
              </w:rPr>
              <w:t>1.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1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_Toc126842025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1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42"/>
            <w:rPr/>
          </w:pPr>
          <w:hyperlink w:anchor="_Toc126842026">
            <w:r>
              <w:rPr>
                <w:webHidden/>
                <w:rStyle w:val="Style21"/>
                <w:iCs/>
                <w:vanish w:val="false"/>
              </w:rPr>
              <w:t>1.1.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1"/>
              </w:rPr>
              <w:t>Наименование закупаемых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_Toc126842026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21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7"/>
            <w:tabs>
              <w:tab w:val="right" w:pos="9911" w:leader="dot"/>
            </w:tabs>
            <w:rPr/>
          </w:pPr>
          <w:hyperlink w:anchor="_Toc12684202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_Toc126842027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21"/>
                <w:vanish w:val="false"/>
              </w:rPr>
              <w:t>Таблица 1. Перечень объектов заказчика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ind w:left="561" w:hanging="0"/>
            <w:rPr>
              <w:rFonts w:eastAsia="新細明體" w:eastAsiaTheme="minorEastAsia"/>
              <w:sz w:val="20"/>
              <w:szCs w:val="20"/>
              <w:lang w:val="x-none"/>
            </w:rPr>
          </w:pPr>
          <w:r>
            <w:rPr>
              <w:rFonts w:eastAsia="新細明體" w:eastAsiaTheme="minorEastAsia"/>
              <w:sz w:val="20"/>
              <w:szCs w:val="20"/>
              <w:lang w:val="x-none"/>
            </w:rPr>
          </w:r>
        </w:p>
        <w:p>
          <w:pPr>
            <w:pStyle w:val="17"/>
            <w:tabs>
              <w:tab w:val="left" w:pos="567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26842031">
            <w:r>
              <w:rPr>
                <w:webHidden/>
                <w:rStyle w:val="Style21"/>
                <w:vanish w:val="false"/>
              </w:rPr>
              <w:t>2.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1"/>
                <w:iCs/>
              </w:rPr>
              <w:t>Требования к продукции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42"/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26842032">
            <w:r>
              <w:rPr>
                <w:webHidden/>
                <w:rStyle w:val="Style21"/>
                <w:iCs/>
                <w:vanish w:val="false"/>
              </w:rPr>
              <w:t>2.1.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1"/>
              </w:rPr>
              <w:t>Требования к объемам и срокам выполнения работ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35"/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26842033">
            <w:r>
              <w:rPr>
                <w:webHidden/>
                <w:rStyle w:val="Style21"/>
                <w:vanish w:val="false"/>
              </w:rPr>
              <w:t>2.1.1.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1"/>
              </w:rPr>
              <w:t>Требования к видам и объемам работ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17"/>
            <w:tabs>
              <w:tab w:val="right" w:pos="9911" w:leader="dot"/>
            </w:tabs>
            <w:rPr/>
          </w:pPr>
          <w:hyperlink w:anchor="_Toc126842034">
            <w:r>
              <w:rPr>
                <w:webHidden/>
                <w:rStyle w:val="Style21"/>
                <w:vanish w:val="false"/>
              </w:rPr>
              <w:t xml:space="preserve">Таблица </w:t>
            </w:r>
            <w:r>
              <w:rPr>
                <w:rStyle w:val="Style21"/>
              </w:rPr>
              <w:t>2. Перечень и объем выполняемых работ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35"/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26842035">
            <w:r>
              <w:rPr>
                <w:webHidden/>
                <w:rStyle w:val="Style21"/>
                <w:vanish w:val="false"/>
              </w:rPr>
              <w:t>2.1.2.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1"/>
              </w:rPr>
              <w:t>Требования к срокам выполнения работ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17"/>
            <w:tabs>
              <w:tab w:val="right" w:pos="9911" w:leader="dot"/>
            </w:tabs>
            <w:rPr/>
          </w:pPr>
          <w:hyperlink w:anchor="_Toc126842036">
            <w:r>
              <w:rPr>
                <w:webHidden/>
                <w:rStyle w:val="Style21"/>
                <w:vanish w:val="false"/>
              </w:rPr>
              <w:t xml:space="preserve">Таблица </w:t>
            </w:r>
            <w:r>
              <w:rPr>
                <w:rStyle w:val="Style21"/>
              </w:rPr>
              <w:t>3. Требования по срокам выполнения работ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42"/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26842037">
            <w:r>
              <w:rPr>
                <w:webHidden/>
                <w:rStyle w:val="Style21"/>
                <w:iCs/>
                <w:vanish w:val="false"/>
              </w:rPr>
              <w:t>2.2.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21"/>
              </w:rPr>
              <w:t>Требования к качеству работ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4</w:t>
          </w:r>
        </w:p>
        <w:p>
          <w:pPr>
            <w:pStyle w:val="17"/>
            <w:tabs>
              <w:tab w:val="right" w:pos="9911" w:leader="dot"/>
            </w:tabs>
            <w:rPr/>
          </w:pPr>
          <w:hyperlink w:anchor="_Toc126842038">
            <w:r>
              <w:rPr>
                <w:webHidden/>
                <w:rStyle w:val="Style21"/>
                <w:vanish w:val="false"/>
              </w:rPr>
              <w:t>Таблица </w:t>
            </w:r>
            <w:r>
              <w:rPr>
                <w:rStyle w:val="Style21"/>
              </w:rPr>
              <w:t>4. Требования к качеству работ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4</w:t>
          </w:r>
        </w:p>
        <w:p>
          <w:pPr>
            <w:pStyle w:val="17"/>
            <w:tabs>
              <w:tab w:val="left" w:pos="567" w:leader="none"/>
              <w:tab w:val="right" w:pos="9911" w:leader="dot"/>
            </w:tabs>
            <w:rPr/>
          </w:pPr>
          <w:hyperlink w:anchor="_Toc126842039">
            <w:r>
              <w:rPr>
                <w:webHidden/>
                <w:rStyle w:val="Style21"/>
                <w:vanish w:val="false"/>
              </w:rPr>
              <w:t>3.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1"/>
              </w:rPr>
              <w:t>Требования к документации по ценообразованию на этапе закупки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rFonts w:eastAsia="新細明體" w:cs="Arial" w:cstheme="minorBidi" w:eastAsiaTheme="minorEastAsia"/>
              <w:b/>
              <w:bCs/>
              <w:vanish w:val="false"/>
              <w:sz w:val="24"/>
              <w:szCs w:val="24"/>
            </w:rPr>
            <w:t>8</w:t>
          </w:r>
        </w:p>
        <w:p>
          <w:pPr>
            <w:pStyle w:val="17"/>
            <w:tabs>
              <w:tab w:val="left" w:pos="567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 w:val="false"/>
              <w:bCs w:val="false"/>
              <w:sz w:val="22"/>
              <w:szCs w:val="22"/>
            </w:rPr>
          </w:pPr>
          <w:hyperlink w:anchor="_Toc126842040">
            <w:r>
              <w:rPr>
                <w:webHidden/>
                <w:rStyle w:val="Style21"/>
                <w:vanish w:val="false"/>
              </w:rPr>
              <w:t>4.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1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8</w:t>
          </w:r>
        </w:p>
        <w:p>
          <w:pPr>
            <w:pStyle w:val="17"/>
            <w:tabs>
              <w:tab w:val="left" w:pos="567" w:leader="none"/>
              <w:tab w:val="right" w:pos="9911" w:leader="dot"/>
            </w:tabs>
            <w:rPr/>
          </w:pPr>
          <w:hyperlink w:anchor="_Toc126842041">
            <w:r>
              <w:rPr>
                <w:webHidden/>
                <w:rStyle w:val="Style21"/>
                <w:vanish w:val="false"/>
              </w:rPr>
              <w:t>5.</w:t>
            </w:r>
            <w:r>
              <w:rPr>
                <w:rStyle w:val="Style21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21"/>
                <w:iCs/>
              </w:rPr>
              <w:t>Приложения</w:t>
            </w:r>
            <w:r>
              <w:rPr>
                <w:rStyle w:val="Style21"/>
                <w:vanish w:val="false"/>
              </w:rPr>
              <w:tab/>
            </w:r>
          </w:hyperlink>
          <w:r>
            <w:rPr>
              <w:vanish w:val="false"/>
            </w:rPr>
            <w:t>8</w:t>
          </w:r>
          <w:r>
            <w:fldChar w:fldCharType="end"/>
          </w:r>
        </w:p>
      </w:sdtContent>
    </w:sdt>
    <w:p>
      <w:pPr>
        <w:pStyle w:val="2"/>
        <w:numPr>
          <w:ilvl w:val="0"/>
          <w:numId w:val="0"/>
        </w:numPr>
        <w:ind w:left="0" w:hanging="0"/>
        <w:rPr>
          <w:b w:val="false"/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caps/>
          <w:lang w:val="ru-RU"/>
        </w:rPr>
      </w:pPr>
      <w:bookmarkStart w:id="0" w:name="_Toc46743506"/>
      <w:bookmarkStart w:id="1" w:name="_Toc51339692"/>
      <w:bookmarkStart w:id="2" w:name="_Toc125567276"/>
      <w:bookmarkStart w:id="3" w:name="_Toc126842025"/>
      <w:bookmarkEnd w:id="1"/>
      <w:bookmarkEnd w:id="2"/>
      <w:bookmarkEnd w:id="3"/>
      <w:r>
        <w:rPr>
          <w:lang w:val="ru-RU"/>
        </w:rPr>
        <w:t>Общие сведения</w:t>
      </w:r>
    </w:p>
    <w:p>
      <w:pPr>
        <w:pStyle w:val="4"/>
        <w:numPr>
          <w:ilvl w:val="1"/>
          <w:numId w:val="2"/>
        </w:numPr>
        <w:rPr/>
      </w:pPr>
      <w:bookmarkStart w:id="4" w:name="_Toc126842026"/>
      <w:r>
        <w:rPr/>
        <w:t>Наименование закупаем</w:t>
      </w:r>
      <w:r>
        <w:rPr>
          <w:lang w:val="ru-RU"/>
        </w:rPr>
        <w:t>ых</w:t>
      </w:r>
      <w:r>
        <w:rPr/>
        <w:t xml:space="preserve"> </w:t>
      </w:r>
      <w:bookmarkEnd w:id="0"/>
      <w:bookmarkEnd w:id="4"/>
      <w:r>
        <w:rPr>
          <w:lang w:val="ru-RU"/>
        </w:rPr>
        <w:t>работ</w:t>
      </w:r>
    </w:p>
    <w:p>
      <w:pPr>
        <w:pStyle w:val="1"/>
        <w:keepLines/>
        <w:numPr>
          <w:ilvl w:val="0"/>
          <w:numId w:val="0"/>
        </w:numPr>
        <w:spacing w:before="0" w:after="240"/>
        <w:ind w:left="0" w:hanging="0"/>
        <w:rPr>
          <w:b w:val="false"/>
          <w:b w:val="false"/>
          <w:i/>
          <w:i/>
          <w:sz w:val="24"/>
          <w:szCs w:val="24"/>
          <w:lang w:val="ru-RU" w:eastAsia="ru-RU"/>
        </w:rPr>
      </w:pPr>
      <w:bookmarkStart w:id="5" w:name="_Toc126842027"/>
      <w:r>
        <w:rPr>
          <w:b w:val="false"/>
          <w:i/>
          <w:sz w:val="24"/>
          <w:szCs w:val="24"/>
          <w:lang w:val="ru-RU" w:eastAsia="ru-RU"/>
        </w:rPr>
        <w:t xml:space="preserve">ОКПД2 42.22.22.140 Выполнение работ по ремонту на объектах: ВЛ 35 кВ Сетевая-Зейская </w:t>
      </w:r>
    </w:p>
    <w:p>
      <w:pPr>
        <w:pStyle w:val="1"/>
        <w:keepLines/>
        <w:numPr>
          <w:ilvl w:val="0"/>
          <w:numId w:val="0"/>
        </w:numPr>
        <w:spacing w:before="0" w:after="240"/>
        <w:ind w:left="0" w:hanging="0"/>
        <w:rPr>
          <w:sz w:val="24"/>
          <w:szCs w:val="24"/>
          <w:lang w:val="ru-RU"/>
        </w:rPr>
      </w:pPr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bookmarkEnd w:id="5"/>
      <w:r>
        <w:rPr>
          <w:sz w:val="24"/>
          <w:szCs w:val="24"/>
          <w:lang w:val="ru-RU"/>
        </w:rPr>
        <w:t>Перечень объектов заказчика</w:t>
      </w:r>
    </w:p>
    <w:tbl>
      <w:tblPr>
        <w:tblW w:w="10060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4"/>
        <w:gridCol w:w="2406"/>
        <w:gridCol w:w="2408"/>
        <w:gridCol w:w="2273"/>
        <w:gridCol w:w="2269"/>
      </w:tblGrid>
      <w:tr>
        <w:trPr/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1142" w:hRule="atLeast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rPr/>
            </w:pPr>
            <w:r>
              <w:rPr/>
            </w:r>
          </w:p>
        </w:tc>
        <w:tc>
          <w:tcPr>
            <w:tcW w:w="2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keepLines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ВЛ-35 кВ Сетевая- Зейская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область,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Благовещенск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spacing w:lineRule="auto" w:line="276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ВЛ-35 Сетевая-Зейская, инв.  №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en-US"/>
              </w:rPr>
              <w:t>CS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0000447 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Эксплуатирующая организация: СП «Центральные электрические сети» филиала АО «ДРСК» «Амурские ЭС» 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Работы производятся в населенной местности,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903н.</w:t>
      </w:r>
    </w:p>
    <w:p>
      <w:pPr>
        <w:pStyle w:val="Normal"/>
        <w:ind w:firstLine="709"/>
        <w:jc w:val="both"/>
        <w:rPr>
          <w:rStyle w:val="Strong"/>
          <w:b w:val="false"/>
          <w:b w:val="false"/>
        </w:rPr>
      </w:pPr>
      <w:bookmarkStart w:id="6" w:name="_Hlk48209761"/>
      <w:bookmarkStart w:id="7" w:name="_Hlk48209761"/>
      <w:bookmarkEnd w:id="7"/>
      <w:r>
        <w:rPr>
          <w:b w:val="false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iCs/>
          <w:caps/>
          <w:lang w:val="ru-RU"/>
        </w:rPr>
      </w:pPr>
      <w:bookmarkStart w:id="8" w:name="_Toc51339693"/>
      <w:bookmarkStart w:id="9" w:name="_Toc126842031"/>
      <w:bookmarkStart w:id="10" w:name="_Toc50125126"/>
      <w:bookmarkStart w:id="11" w:name="_Hlk482097611"/>
      <w:bookmarkEnd w:id="8"/>
      <w:bookmarkEnd w:id="9"/>
      <w:bookmarkEnd w:id="10"/>
      <w:bookmarkEnd w:id="11"/>
      <w:r>
        <w:rPr>
          <w:iCs/>
        </w:rPr>
        <w:t>Требования к продукции</w:t>
      </w:r>
    </w:p>
    <w:p>
      <w:pPr>
        <w:pStyle w:val="4"/>
        <w:numPr>
          <w:ilvl w:val="1"/>
          <w:numId w:val="2"/>
        </w:numPr>
        <w:rPr/>
      </w:pPr>
      <w:bookmarkStart w:id="12" w:name="_Toc126842032"/>
      <w:r>
        <w:rPr/>
        <w:t xml:space="preserve">Требования к объемам и срокам </w:t>
      </w:r>
      <w:bookmarkEnd w:id="12"/>
      <w:r>
        <w:rPr>
          <w:lang w:val="ru-RU"/>
        </w:rPr>
        <w:t>выполнения работ</w:t>
      </w:r>
    </w:p>
    <w:p>
      <w:pPr>
        <w:pStyle w:val="3"/>
        <w:numPr>
          <w:ilvl w:val="2"/>
          <w:numId w:val="2"/>
        </w:numPr>
        <w:rPr/>
      </w:pPr>
      <w:bookmarkStart w:id="13" w:name="_Toc126842033"/>
      <w:bookmarkEnd w:id="13"/>
      <w:r>
        <w:rPr>
          <w:lang w:val="ru-RU"/>
        </w:rPr>
        <w:t>Требования к видам и объемам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/>
      </w:pPr>
      <w:bookmarkStart w:id="14" w:name="_Toc126842034"/>
      <w:bookmarkStart w:id="15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4"/>
      <w:bookmarkEnd w:id="15"/>
      <w:r>
        <w:rPr>
          <w:sz w:val="24"/>
          <w:szCs w:val="24"/>
          <w:lang w:val="ru-RU"/>
        </w:rPr>
        <w:t>и объем выполняемых работ</w:t>
      </w:r>
    </w:p>
    <w:tbl>
      <w:tblPr>
        <w:tblW w:w="9810" w:type="dxa"/>
        <w:jc w:val="left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49"/>
        <w:gridCol w:w="4282"/>
        <w:gridCol w:w="2556"/>
        <w:gridCol w:w="2122"/>
      </w:tblGrid>
      <w:tr>
        <w:trPr/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rPr/>
            </w:pPr>
            <w:r>
              <w:rPr/>
            </w:r>
          </w:p>
        </w:tc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Окраска опор ВЛ-35 кВ Сетевая- Зейская</w:t>
            </w:r>
          </w:p>
        </w:tc>
        <w:tc>
          <w:tcPr>
            <w:tcW w:w="46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1.1 к настоящим Техническим требованиям)</w:t>
            </w:r>
          </w:p>
        </w:tc>
      </w:tr>
    </w:tbl>
    <w:p>
      <w:pPr>
        <w:pStyle w:val="3"/>
        <w:numPr>
          <w:ilvl w:val="2"/>
          <w:numId w:val="2"/>
        </w:numPr>
        <w:rPr>
          <w:lang w:val="ru-RU"/>
        </w:rPr>
      </w:pPr>
      <w:bookmarkStart w:id="16" w:name="_Toc126842035"/>
      <w:bookmarkStart w:id="17" w:name="_Toc51339696"/>
      <w:r>
        <w:rPr>
          <w:lang w:val="ru-RU"/>
        </w:rPr>
        <w:t xml:space="preserve">Требования </w:t>
      </w:r>
      <w:bookmarkEnd w:id="16"/>
      <w:bookmarkEnd w:id="17"/>
      <w:r>
        <w:rPr>
          <w:lang w:val="ru-RU"/>
        </w:rPr>
        <w:t>к срокам выполнения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/>
      </w:pPr>
      <w:bookmarkStart w:id="18" w:name="_Toc126842036"/>
      <w:bookmarkStart w:id="19" w:name="_Toc50125127"/>
      <w:bookmarkStart w:id="20" w:name="_Toc51339697"/>
      <w:bookmarkStart w:id="21" w:name="_Toc501251261"/>
      <w:bookmarkEnd w:id="2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2" w:name="_Hlk50465284"/>
      <w:r>
        <w:rPr>
          <w:sz w:val="24"/>
          <w:szCs w:val="24"/>
        </w:rPr>
        <w:t xml:space="preserve">Требования по срокам </w:t>
      </w:r>
      <w:bookmarkStart w:id="23" w:name="_Toc46743510"/>
      <w:bookmarkEnd w:id="18"/>
      <w:bookmarkEnd w:id="19"/>
      <w:bookmarkEnd w:id="20"/>
      <w:bookmarkEnd w:id="22"/>
      <w:bookmarkEnd w:id="23"/>
      <w:r>
        <w:rPr>
          <w:sz w:val="24"/>
          <w:szCs w:val="24"/>
          <w:lang w:val="ru-RU"/>
        </w:rPr>
        <w:t>выполнения работ</w:t>
      </w:r>
    </w:p>
    <w:tbl>
      <w:tblPr>
        <w:tblW w:w="9918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24"/>
        <w:gridCol w:w="4399"/>
        <w:gridCol w:w="2268"/>
        <w:gridCol w:w="2126"/>
      </w:tblGrid>
      <w:tr>
        <w:trPr/>
        <w:tc>
          <w:tcPr>
            <w:tcW w:w="1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>
          <w:trHeight w:val="280" w:hRule="atLeast"/>
        </w:trPr>
        <w:tc>
          <w:tcPr>
            <w:tcW w:w="1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Style43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Style43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27" w:hRule="atLeast"/>
        </w:trPr>
        <w:tc>
          <w:tcPr>
            <w:tcW w:w="1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jc w:val="center"/>
              <w:rPr/>
            </w:pPr>
            <w:r>
              <w:rPr/>
            </w:r>
          </w:p>
        </w:tc>
        <w:tc>
          <w:tcPr>
            <w:tcW w:w="4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Окраска опор ВЛ-35 кВ Сетевая- Зейская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с даты, следующей за датой заключения договора </w:t>
            </w:r>
          </w:p>
          <w:p>
            <w:pPr>
              <w:pStyle w:val="Annotationtext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Annotationtext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 xml:space="preserve"> </w:t>
            </w:r>
            <w:r>
              <w:rPr>
                <w:b w:val="false"/>
                <w:i w:val="false"/>
                <w:sz w:val="22"/>
                <w:szCs w:val="22"/>
                <w:shd w:fill="FFFFFF" w:val="clear"/>
              </w:rPr>
              <w:t xml:space="preserve">в течение 1 (одного) </w:t>
            </w:r>
            <w:r>
              <w:rPr>
                <w:sz w:val="22"/>
                <w:szCs w:val="22"/>
                <w:shd w:fill="FFFFFF" w:val="clear"/>
              </w:rPr>
              <w:t>месяца с даты начала выполнения работ по Договору</w:t>
            </w:r>
          </w:p>
          <w:p>
            <w:pPr>
              <w:pStyle w:val="Normal"/>
              <w:widowControl w:val="false"/>
              <w:ind w:left="-108"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spacing w:before="240" w:after="60"/>
        <w:ind w:left="0" w:hanging="0"/>
        <w:outlineLvl w:val="0"/>
        <w:rPr>
          <w:rFonts w:eastAsia="Calibri"/>
          <w:b/>
          <w:b/>
          <w:sz w:val="24"/>
          <w:szCs w:val="24"/>
          <w:lang w:eastAsia="x-none"/>
        </w:rPr>
      </w:pPr>
      <w:r>
        <w:rPr>
          <w:color w:val="000000"/>
          <w:sz w:val="24"/>
          <w:szCs w:val="24"/>
        </w:rPr>
        <w:t>Этапы выполнения работ указаны в</w:t>
      </w:r>
      <w:r>
        <w:rPr>
          <w:i/>
          <w:sz w:val="24"/>
          <w:szCs w:val="24"/>
        </w:rPr>
        <w:t xml:space="preserve"> Календарном графике выполнения работ</w:t>
      </w:r>
      <w:r>
        <w:rPr>
          <w:sz w:val="24"/>
          <w:szCs w:val="24"/>
        </w:rPr>
        <w:t>, являющегося приложением к проекту договора подряда.</w:t>
      </w:r>
    </w:p>
    <w:p>
      <w:pPr>
        <w:pStyle w:val="Normal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</w:r>
    </w:p>
    <w:p>
      <w:pPr>
        <w:pStyle w:val="4"/>
        <w:numPr>
          <w:ilvl w:val="1"/>
          <w:numId w:val="2"/>
        </w:numPr>
        <w:rPr/>
      </w:pPr>
      <w:bookmarkStart w:id="24" w:name="_Toc51339698"/>
      <w:bookmarkStart w:id="25" w:name="_Toc126842037"/>
      <w:r>
        <w:rPr/>
        <w:t xml:space="preserve">Требования к </w:t>
      </w:r>
      <w:bookmarkEnd w:id="25"/>
      <w:r>
        <w:rPr>
          <w:lang w:val="ru-RU"/>
        </w:rPr>
        <w:t>качеству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/>
      </w:pPr>
      <w:bookmarkStart w:id="26" w:name="_Toc126842038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24"/>
      <w:r>
        <w:rPr>
          <w:sz w:val="24"/>
          <w:szCs w:val="24"/>
          <w:lang w:val="ru-RU"/>
        </w:rPr>
        <w:t>качеству работ</w:t>
      </w:r>
      <w:bookmarkEnd w:id="26"/>
      <w:r>
        <w:rPr>
          <w:sz w:val="24"/>
          <w:szCs w:val="24"/>
        </w:rPr>
        <w:t xml:space="preserve"> </w:t>
      </w:r>
    </w:p>
    <w:tbl>
      <w:tblPr>
        <w:tblStyle w:val="af"/>
        <w:tblW w:w="9923" w:type="dxa"/>
        <w:jc w:val="left"/>
        <w:tblInd w:w="-10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68"/>
        <w:gridCol w:w="1845"/>
        <w:gridCol w:w="3807"/>
        <w:gridCol w:w="1"/>
        <w:gridCol w:w="3401"/>
      </w:tblGrid>
      <w:tr>
        <w:trPr/>
        <w:tc>
          <w:tcPr>
            <w:tcW w:w="868" w:type="dxa"/>
            <w:vMerge w:val="restart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45" w:type="dxa"/>
            <w:vMerge w:val="restart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807" w:type="dxa"/>
            <w:vMerge w:val="restart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402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68" w:type="dxa"/>
            <w:vMerge w:val="continue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45" w:type="dxa"/>
            <w:vMerge w:val="continue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807" w:type="dxa"/>
            <w:vMerge w:val="continue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</w:tr>
      <w:tr>
        <w:trPr>
          <w:trHeight w:val="344" w:hRule="atLeast"/>
        </w:trPr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7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bookmarkStart w:id="27" w:name="_GoBack"/>
            <w:bookmarkEnd w:id="27"/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3401" w:type="dxa"/>
            <w:vMerge w:val="restart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После выполнения полного объема работ Подрядчик: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подписывает акт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3401" w:type="dxa"/>
            <w:vMerge w:val="continue"/>
            <w:tcBorders/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rPr>
                <w:b/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 менее чем за 5 рабочих дней до начала выполнения работ Подрядчик направляет в адрес Заказчика уведомление о допуске персонала Подрядчика или Субподрядчика к выполнению работ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Заявка на вывод оборудования в ремонт подается Подрядчиком не позднее 10 дней до начала производства работ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Работы выполняются по проекту производства работ (ППР) и графику их выполнения, ППР разрабатывается Подрядчиком и согласовывается с Заказчиком. ППР предоставляется Подрядчиком заблаговременно до начала производства работ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3401" w:type="dxa"/>
            <w:vMerge w:val="restart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3401" w:type="dxa"/>
            <w:vMerge w:val="continue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СП 48.13330.2019 "СНиП 12-01-2004 «Организация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Annotationtext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Правила безопасности опасных производственных объектов, на которых используются подъемные сооружения» (приказ Ростехнадзора от 26.11.2020 № 461);</w:t>
            </w:r>
          </w:p>
          <w:p>
            <w:pPr>
              <w:pStyle w:val="Normal"/>
              <w:widowControl w:val="false"/>
              <w:tabs>
                <w:tab w:val="left" w:pos="1418" w:leader="none"/>
              </w:tabs>
              <w:suppressAutoHyphens w:val="true"/>
              <w:spacing w:before="0" w:after="0"/>
              <w:rPr>
                <w:i/>
                <w:i/>
              </w:rPr>
            </w:pPr>
            <w:r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3401" w:type="dxa"/>
            <w:vMerge w:val="restart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Обеспечить выполнение требований Правил по охране труда при эксплуатации электроустановок (Приказ от 15 декабря 2020 г. № 903н)</w:t>
            </w:r>
          </w:p>
        </w:tc>
        <w:tc>
          <w:tcPr>
            <w:tcW w:w="3401" w:type="dxa"/>
            <w:vMerge w:val="continue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3401" w:type="dxa"/>
            <w:vMerge w:val="continue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Подрядчик: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обеспечивает участие своего персонала в получении вводного и первичного на рабочем месте инструктажей, проводимых персоналом Заказчика с применением видеофиксации;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видеофиксации;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3 к техническим требованиям (Приложение В к Порядку работы с переносными средствами видеофиксации в АО «ДРСК» Прк-СМОЗиОБТ-9.1-01/09-26).</w:t>
            </w:r>
          </w:p>
        </w:tc>
        <w:tc>
          <w:tcPr>
            <w:tcW w:w="3401" w:type="dxa"/>
            <w:vMerge w:val="continue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rStyle w:val="Style15"/>
                <w:b w:val="false"/>
                <w:bCs/>
                <w:i w:val="false"/>
                <w:sz w:val="24"/>
                <w:szCs w:val="24"/>
                <w:shd w:fill="FFFFFF" w:val="clear"/>
              </w:rPr>
              <w:t xml:space="preserve"> 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3401" w:type="dxa"/>
            <w:vMerge w:val="restart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т.ч. скрытых)</w:t>
            </w:r>
          </w:p>
        </w:tc>
        <w:tc>
          <w:tcPr>
            <w:tcW w:w="3401" w:type="dxa"/>
            <w:vMerge w:val="continue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3401" w:type="dxa"/>
            <w:vMerge w:val="continue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/>
            </w:pPr>
            <w:r>
              <w:rPr/>
            </w:r>
          </w:p>
        </w:tc>
        <w:tc>
          <w:tcPr>
            <w:tcW w:w="5653" w:type="dxa"/>
            <w:gridSpan w:val="3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340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</w:tbl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lang w:val="ru-RU"/>
        </w:rPr>
      </w:pPr>
      <w:bookmarkStart w:id="28" w:name="_Toc126842039"/>
      <w:bookmarkStart w:id="29" w:name="_Toc53393312"/>
      <w:r>
        <w:rPr>
          <w:lang w:val="ru-RU"/>
        </w:rPr>
        <w:t>Требования к документации по ценообразованию</w:t>
      </w:r>
      <w:bookmarkEnd w:id="28"/>
      <w:bookmarkEnd w:id="29"/>
      <w:r>
        <w:rPr>
          <w:lang w:val="ru-RU"/>
        </w:rPr>
        <w:t xml:space="preserve"> на этапе закупки</w:t>
      </w:r>
    </w:p>
    <w:p>
      <w:pPr>
        <w:pStyle w:val="4"/>
        <w:numPr>
          <w:ilvl w:val="0"/>
          <w:numId w:val="0"/>
        </w:numPr>
        <w:spacing w:before="60" w:after="0"/>
        <w:ind w:left="0" w:hanging="0"/>
        <w:jc w:val="both"/>
        <w:rPr>
          <w:b w:val="false"/>
          <w:b w:val="false"/>
          <w:lang w:val="ru-RU"/>
        </w:rPr>
      </w:pPr>
      <w:r>
        <w:rPr>
          <w:b w:val="false"/>
          <w:lang w:val="ru-RU"/>
        </w:rPr>
        <w:t xml:space="preserve">        </w:t>
      </w:r>
      <w:r>
        <w:rPr>
          <w:b w:val="false"/>
          <w:lang w:val="ru-RU"/>
        </w:rPr>
        <w:t xml:space="preserve">3.1.  </w:t>
      </w:r>
      <w:r>
        <w:rPr>
          <w:b w:val="false"/>
        </w:rPr>
        <w:t>В обоснование стоимости своей заявки Участник предоставляет Коммерческое предложение</w:t>
      </w:r>
      <w:r>
        <w:rPr>
          <w:b w:val="false"/>
          <w:lang w:val="ru-RU"/>
        </w:rPr>
        <w:t xml:space="preserve"> по форме, приведенной в Документации о закупке</w:t>
      </w:r>
      <w:r>
        <w:rPr>
          <w:b w:val="false"/>
        </w:rPr>
        <w:t xml:space="preserve"> (с указанием понижающего коэффициента), с учетом </w:t>
      </w:r>
      <w:r>
        <w:rPr>
          <w:b w:val="false"/>
          <w:lang w:eastAsia="ru-RU"/>
        </w:rPr>
        <w:t xml:space="preserve">требований к ценообразованию при формировании Коммерческого предложения в составе заявки </w:t>
      </w:r>
      <w:r>
        <w:rPr>
          <w:b w:val="false"/>
          <w:lang w:val="ru-RU" w:eastAsia="ru-RU"/>
        </w:rPr>
        <w:t>У</w:t>
      </w:r>
      <w:r>
        <w:rPr>
          <w:b w:val="false"/>
          <w:lang w:eastAsia="ru-RU"/>
        </w:rPr>
        <w:t>частника</w:t>
      </w:r>
      <w:r>
        <w:rPr>
          <w:b w:val="false"/>
        </w:rPr>
        <w:t xml:space="preserve"> (приложение </w:t>
      </w:r>
      <w:r>
        <w:rPr>
          <w:b w:val="false"/>
          <w:lang w:val="ru-RU"/>
        </w:rPr>
        <w:t>4</w:t>
      </w:r>
      <w:r>
        <w:rPr>
          <w:b w:val="false"/>
        </w:rPr>
        <w:t xml:space="preserve"> к Техническим требованиям)</w:t>
      </w:r>
      <w:r>
        <w:rPr>
          <w:b w:val="false"/>
          <w:lang w:val="ru-RU"/>
        </w:rPr>
        <w:t>.</w:t>
      </w:r>
    </w:p>
    <w:p>
      <w:pPr>
        <w:pStyle w:val="4"/>
        <w:numPr>
          <w:ilvl w:val="0"/>
          <w:numId w:val="0"/>
        </w:numPr>
        <w:spacing w:before="60" w:after="0"/>
        <w:ind w:left="0" w:hanging="0"/>
        <w:jc w:val="both"/>
        <w:rPr>
          <w:b w:val="false"/>
          <w:b w:val="false"/>
        </w:rPr>
      </w:pPr>
      <w:r>
        <w:rPr>
          <w:b w:val="false"/>
          <w:lang w:val="ru-RU"/>
        </w:rPr>
        <w:t xml:space="preserve">        </w:t>
      </w:r>
      <w:r>
        <w:rPr>
          <w:b w:val="false"/>
          <w:lang w:val="ru-RU"/>
        </w:rPr>
        <w:t xml:space="preserve">3.2. </w:t>
      </w:r>
      <w:r>
        <w:rPr>
          <w:b w:val="false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jc w:val="both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lang w:val="ru-RU"/>
        </w:rPr>
      </w:pPr>
      <w:bookmarkStart w:id="30" w:name="_Toc126842040"/>
      <w:bookmarkEnd w:id="30"/>
      <w:r>
        <w:rPr>
          <w:lang w:val="ru-RU"/>
        </w:rPr>
        <w:t>Требования к документации по ценообразованию на этапе заключения (исполнения) договора</w:t>
      </w:r>
    </w:p>
    <w:p>
      <w:pPr>
        <w:pStyle w:val="4"/>
        <w:numPr>
          <w:ilvl w:val="0"/>
          <w:numId w:val="0"/>
        </w:numPr>
        <w:spacing w:before="60" w:after="0"/>
        <w:ind w:left="0" w:hanging="0"/>
        <w:jc w:val="both"/>
        <w:rPr>
          <w:b w:val="false"/>
          <w:b w:val="false"/>
        </w:rPr>
      </w:pPr>
      <w:r>
        <w:rPr>
          <w:b w:val="false"/>
          <w:szCs w:val="22"/>
          <w:lang w:val="ru-RU"/>
        </w:rPr>
        <w:t xml:space="preserve">          </w:t>
      </w:r>
      <w:r>
        <w:rPr>
          <w:b w:val="false"/>
          <w:szCs w:val="22"/>
          <w:lang w:val="ru-RU"/>
        </w:rPr>
        <w:t>4.1.</w:t>
      </w:r>
      <w:r>
        <w:rPr>
          <w:szCs w:val="22"/>
        </w:rPr>
        <w:t xml:space="preserve"> </w:t>
      </w:r>
      <w:r>
        <w:rPr>
          <w:b w:val="false"/>
        </w:rPr>
        <w:t xml:space="preserve">Сметная документация разработана </w:t>
      </w:r>
      <w:r>
        <w:rPr>
          <w:b w:val="false"/>
          <w:lang w:val="ru-RU"/>
        </w:rPr>
        <w:t>Заказчиком</w:t>
      </w:r>
      <w:r>
        <w:rPr>
          <w:b w:val="false"/>
        </w:rPr>
        <w:t xml:space="preserve">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         </w:t>
      </w:r>
      <w:r>
        <w:rPr>
          <w:sz w:val="24"/>
          <w:szCs w:val="22"/>
        </w:rPr>
        <w:t>4.2. Внесение изменений в сметную документацию Заказчика, кроме применения понижающего коэффициента в соответствии с п. 4.1, не допускается.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rStyle w:val="Style15"/>
          <w:b w:val="false"/>
          <w:b w:val="false"/>
          <w:bCs/>
          <w:iCs/>
          <w:sz w:val="24"/>
          <w:szCs w:val="24"/>
        </w:rPr>
      </w:pPr>
      <w:r>
        <w:rPr>
          <w:b w:val="false"/>
          <w:bCs/>
          <w:iCs/>
          <w:sz w:val="24"/>
          <w:szCs w:val="24"/>
        </w:rPr>
      </w:r>
    </w:p>
    <w:p>
      <w:pPr>
        <w:pStyle w:val="1"/>
        <w:keepLines/>
        <w:numPr>
          <w:ilvl w:val="0"/>
          <w:numId w:val="2"/>
        </w:numPr>
        <w:ind w:left="357" w:hanging="357"/>
        <w:jc w:val="center"/>
        <w:rPr>
          <w:iCs/>
          <w:caps/>
        </w:rPr>
      </w:pPr>
      <w:bookmarkStart w:id="31" w:name="_Toc126842041"/>
      <w:bookmarkEnd w:id="31"/>
      <w:r>
        <w:rPr>
          <w:iCs/>
        </w:rPr>
        <w:t>Приложения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1.1: Ведомости дефектов и объемов работ № 1;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2: Справка по объемам выполненных работ;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3: Согласие на обработку персональных данных;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4: Требования к ценообразованию при формировании Коммерческого предложения в составе заявки участника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5: Сметная документация;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enter" w:pos="6111" w:leader="none"/>
        </w:tabs>
        <w:ind w:right="-5413" w:hanging="0"/>
        <w:rPr>
          <w:b/>
          <w:b/>
          <w:bCs/>
          <w:i/>
          <w:i/>
          <w:iCs/>
          <w:sz w:val="26"/>
          <w:szCs w:val="26"/>
        </w:rPr>
      </w:pPr>
      <w:r>
        <w:rPr/>
      </w:r>
    </w:p>
    <w:sectPr>
      <w:headerReference w:type="default" r:id="rId3"/>
      <w:headerReference w:type="first" r:id="rId4"/>
      <w:type w:val="nextPage"/>
      <w:pgSz w:w="11906" w:h="16838"/>
      <w:pgMar w:left="1134" w:right="851" w:header="680" w:top="1134" w:footer="0" w:bottom="992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Univers">
    <w:charset w:val="01"/>
    <w:family w:val="roman"/>
    <w:pitch w:val="variable"/>
  </w:font>
  <w:font w:name="Franklin Gothic Medium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8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pStyle w:val="3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77ef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1">
    <w:name w:val="Heading 1"/>
    <w:basedOn w:val="3"/>
    <w:link w:val="12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link w:val="24"/>
    <w:qFormat/>
    <w:rsid w:val="00ea61a8"/>
    <w:pPr>
      <w:numPr>
        <w:ilvl w:val="0"/>
        <w:numId w:val="0"/>
      </w:numPr>
      <w:outlineLvl w:val="1"/>
    </w:pPr>
    <w:rPr/>
  </w:style>
  <w:style w:type="paragraph" w:styleId="3">
    <w:name w:val="Heading 3"/>
    <w:basedOn w:val="Normal"/>
    <w:link w:val="32"/>
    <w:autoRedefine/>
    <w:qFormat/>
    <w:rsid w:val="00035e96"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link w:val="40"/>
    <w:qFormat/>
    <w:rsid w:val="006629c9"/>
    <w:pPr>
      <w:numPr>
        <w:ilvl w:val="1"/>
        <w:numId w:val="1"/>
      </w:numPr>
      <w:outlineLvl w:val="1"/>
    </w:pPr>
    <w:rPr>
      <w:bCs/>
    </w:rPr>
  </w:style>
  <w:style w:type="paragraph" w:styleId="5">
    <w:name w:val="Heading 5"/>
    <w:basedOn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Привязка сноски"/>
    <w:rPr>
      <w:vertAlign w:val="superscript"/>
    </w:rPr>
  </w:style>
  <w:style w:type="character" w:styleId="FootnoteCharacters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6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1" w:customStyle="1">
    <w:name w:val="Заголовок 2 Знак"/>
    <w:link w:val="23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1" w:customStyle="1">
    <w:name w:val="Заголовок 3 Знак"/>
    <w:link w:val="30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1" w:customStyle="1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7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8" w:customStyle="1">
    <w:name w:val="Подзаголовок Знак"/>
    <w:link w:val="aff2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9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c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0" w:customStyle="1">
    <w:name w:val="Выделенная цитата Знак"/>
    <w:link w:val="aff7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1" w:customStyle="1">
    <w:name w:val="Электронная подпись Знак"/>
    <w:link w:val="afff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4"/>
    <w:qFormat/>
    <w:locked/>
    <w:rsid w:val="00d22f6d"/>
    <w:rPr>
      <w:sz w:val="28"/>
    </w:rPr>
  </w:style>
  <w:style w:type="character" w:styleId="Style12" w:customStyle="1">
    <w:name w:val="Текст сноски Знак"/>
    <w:link w:val="a8"/>
    <w:uiPriority w:val="99"/>
    <w:qFormat/>
    <w:rsid w:val="00d22f6d"/>
    <w:rPr/>
  </w:style>
  <w:style w:type="character" w:styleId="Style13" w:customStyle="1">
    <w:name w:val="Основной текст Знак"/>
    <w:link w:val="af1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4" w:customStyle="1">
    <w:name w:val="Абзац списка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styleId="Style15" w:customStyle="1">
    <w:name w:val="комментарий"/>
    <w:qFormat/>
    <w:rsid w:val="0025139e"/>
    <w:rPr>
      <w:i/>
      <w:shd w:fill="FFFF99" w:val="clear"/>
    </w:rPr>
  </w:style>
  <w:style w:type="character" w:styleId="Style16" w:customStyle="1">
    <w:name w:val="Подподпункт Знак"/>
    <w:link w:val="afff7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7" w:customStyle="1">
    <w:name w:val="Верхний колонтитул Знак"/>
    <w:link w:val="ac"/>
    <w:uiPriority w:val="99"/>
    <w:qFormat/>
    <w:rsid w:val="002f31af"/>
    <w:rPr>
      <w:sz w:val="24"/>
      <w:szCs w:val="24"/>
    </w:rPr>
  </w:style>
  <w:style w:type="character" w:styleId="Style18" w:customStyle="1">
    <w:name w:val="Текст примечания Знак"/>
    <w:link w:val="afb"/>
    <w:qFormat/>
    <w:rsid w:val="00dc0f7d"/>
    <w:rPr/>
  </w:style>
  <w:style w:type="character" w:styleId="Style19" w:customStyle="1">
    <w:name w:val="Текст концевой сноски Знак"/>
    <w:basedOn w:val="DefaultParagraphFont"/>
    <w:link w:val="afff9"/>
    <w:qFormat/>
    <w:rsid w:val="003879d4"/>
    <w:rPr/>
  </w:style>
  <w:style w:type="character" w:styleId="Style20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8"/>
    <w:qFormat/>
    <w:rsid w:val="00de52bc"/>
    <w:rPr>
      <w:b/>
      <w:sz w:val="28"/>
    </w:rPr>
  </w:style>
  <w:style w:type="character" w:styleId="13" w:customStyle="1">
    <w:name w:val="УРОВЕНЬ_1. Знак"/>
    <w:link w:val="1a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Style21">
    <w:name w:val="Ссылка указателя"/>
    <w:qFormat/>
    <w:rPr/>
  </w:style>
  <w:style w:type="character" w:styleId="ListLabel1">
    <w:name w:val="ListLabel 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2">
    <w:name w:val="ListLabel 2"/>
    <w:qFormat/>
    <w:rPr>
      <w:b w:val="false"/>
      <w:bCs/>
      <w:i w:val="false"/>
      <w:iCs/>
      <w:sz w:val="24"/>
      <w:szCs w:val="24"/>
    </w:rPr>
  </w:style>
  <w:style w:type="character" w:styleId="ListLabel3">
    <w:name w:val="ListLabel 3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4">
    <w:name w:val="ListLabel 4"/>
    <w:qFormat/>
    <w:rPr>
      <w:b w:val="false"/>
      <w:bCs/>
      <w:i w:val="false"/>
      <w:iCs/>
      <w:sz w:val="24"/>
      <w:szCs w:val="24"/>
    </w:rPr>
  </w:style>
  <w:style w:type="character" w:styleId="ListLabel5">
    <w:name w:val="ListLabel 5"/>
    <w:qFormat/>
    <w:rPr>
      <w:b/>
      <w:bCs w:val="false"/>
      <w:sz w:val="24"/>
      <w:szCs w:val="24"/>
    </w:rPr>
  </w:style>
  <w:style w:type="character" w:styleId="ListLabel6">
    <w:name w:val="ListLabel 6"/>
    <w:qFormat/>
    <w:rPr>
      <w:b/>
      <w:bCs/>
      <w:sz w:val="24"/>
      <w:szCs w:val="24"/>
    </w:rPr>
  </w:style>
  <w:style w:type="character" w:styleId="ListLabel7">
    <w:name w:val="ListLabel 7"/>
    <w:qFormat/>
    <w:rPr>
      <w:sz w:val="24"/>
      <w:szCs w:val="24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3">
    <w:name w:val="Body Text"/>
    <w:basedOn w:val="Normal"/>
    <w:link w:val="af2"/>
    <w:rsid w:val="0076353a"/>
    <w:pPr>
      <w:spacing w:before="0" w:after="120"/>
    </w:pPr>
    <w:rPr/>
  </w:style>
  <w:style w:type="paragraph" w:styleId="Style24">
    <w:name w:val="List"/>
    <w:basedOn w:val="Style23"/>
    <w:pPr/>
    <w:rPr>
      <w:rFonts w:cs="Lohit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ohit Devanagari"/>
    </w:rPr>
  </w:style>
  <w:style w:type="paragraph" w:styleId="Style2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8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29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Style30">
    <w:name w:val="Footnote Text"/>
    <w:basedOn w:val="Normal"/>
    <w:link w:val="a9"/>
    <w:uiPriority w:val="99"/>
    <w:qFormat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1">
    <w:name w:val="Колонтитул"/>
    <w:basedOn w:val="Normal"/>
    <w:qFormat/>
    <w:pPr/>
    <w:rPr/>
  </w:style>
  <w:style w:type="paragraph" w:styleId="Style32">
    <w:name w:val="Header"/>
    <w:basedOn w:val="Normal"/>
    <w:link w:val="ad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3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4">
    <w:name w:val="Footer"/>
    <w:basedOn w:val="Normal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6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5" w:customStyle="1">
    <w:name w:val="Подпункт"/>
    <w:basedOn w:val="Normal"/>
    <w:link w:val="15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9"/>
    <w:qFormat/>
    <w:rsid w:val="0076353a"/>
    <w:pPr>
      <w:keepNext w:val="true"/>
      <w:tabs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autoRedefine/>
    <w:uiPriority w:val="39"/>
    <w:rsid w:val="00d5482f"/>
    <w:pPr>
      <w:tabs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36" w:customStyle="1">
    <w:name w:val="Раздел регламента"/>
    <w:basedOn w:val="Normal"/>
    <w:qFormat/>
    <w:rsid w:val="00e228fa"/>
    <w:pPr/>
    <w:rPr/>
  </w:style>
  <w:style w:type="paragraph" w:styleId="Style37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c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autoRedefine/>
    <w:uiPriority w:val="39"/>
    <w:rsid w:val="00d9471e"/>
    <w:pPr>
      <w:tabs>
        <w:tab w:val="left" w:pos="1120" w:leader="none"/>
        <w:tab w:val="right" w:pos="9911" w:leader="dot"/>
      </w:tabs>
      <w:ind w:left="561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8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39">
    <w:name w:val="Subtitle"/>
    <w:basedOn w:val="Normal"/>
    <w:link w:val="aff3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aff6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link w:val="2d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uiPriority w:val="39"/>
    <w:qFormat/>
    <w:rsid w:val="00d22f6d"/>
    <w:pPr>
      <w:keepLines/>
      <w:numPr>
        <w:ilvl w:val="0"/>
        <w:numId w:val="0"/>
      </w:numPr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ff0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0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1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2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3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4" w:customStyle="1">
    <w:name w:val="Подподпункт"/>
    <w:basedOn w:val="Style35"/>
    <w:link w:val="afff8"/>
    <w:qFormat/>
    <w:rsid w:val="0025139e"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5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6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link w:val="39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47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Symbol">
    <w:name w:val="Endnote Symbol"/>
    <w:basedOn w:val="Normal"/>
    <w:link w:val="afffa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48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1" w:customStyle="1">
    <w:name w:val="УРОВЕНЬ_1."/>
    <w:basedOn w:val="ListParagraph"/>
    <w:link w:val="1b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PlainText1" w:customStyle="1">
    <w:name w:val="Plain Text1"/>
    <w:basedOn w:val="Normal"/>
    <w:qFormat/>
    <w:rsid w:val="00c62d8a"/>
    <w:pPr>
      <w:widowControl w:val="false"/>
    </w:pPr>
    <w:rPr>
      <w:rFonts w:ascii="Courier New" w:hAnsi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2DB48-3073-412A-921D-F285F4628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Application>LibreOffice/5.3.6.1$Linux_X86_64 LibreOffice_project/30$Build-1</Application>
  <Pages>8</Pages>
  <Words>1635</Words>
  <Characters>11402</Characters>
  <CharactersWithSpaces>12893</CharactersWithSpaces>
  <Paragraphs>189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2024-01-29T07:58:00Z</dcterms:created>
  <dc:creator>Быстров Олег Геннадьевич</dc:creator>
  <dc:description/>
  <dc:language>ru-RU</dc:language>
  <cp:lastModifiedBy/>
  <cp:lastPrinted>2026-05-07T08:36:52Z</cp:lastPrinted>
  <dcterms:modified xsi:type="dcterms:W3CDTF">2026-05-08T09:58:12Z</dcterms:modified>
  <cp:revision>38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